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pStyle w:val="Heading1"/>
      </w:pPr>
      <w:r>
        <w:t xml:space="preserve">NVDA para Windows: atajos de teclado</w:t>
      </w:r>
    </w:p>
    <w:p>
      <w:r>
        <w:t xml:space="preserve">Una guía rápida para quienes están aprendiendo a usar NVDA, el lector de pantalla gratuito para Windows de NV Access. Incluye los comandos de uso diario para leer, navegar en la web y cambiar la configuración, con la distribución de teclado de escritorio.</w:t>
      </w:r>
    </w:p>
    <w:p>
      <w:r>
        <w:t xml:space="preserve">En esta guía, NVDA significa la tecla NVDA. De forma predeterminada es Insert, y funciona cualquiera de las dos teclas Insert, incluida la del teclado numérico. Esta guía usa la distribución de teclado de escritorio. Si elige la distribución para laptop, también puede configurar Bloq Mayús como tecla NVDA en las opciones de Teclado de NVDA, y algunos comandos cambian; más abajo indicamos los principales. Para activar o desactivar Bloq Mayús mientras es su tecla NVDA, presiónela dos veces rápidamente.</w:t>
      </w:r>
    </w:p>
    <w:p>
      <w:pPr>
        <w:pStyle w:val="Heading2"/>
      </w:pPr>
      <w:r>
        <w:t xml:space="preserve">Primeros pasos</w:t>
      </w:r>
    </w:p>
    <w:tbl>
      <w:tblPr>
        <w:tblStyle w:val="TableGrid"/>
        <w:tblW w:w="5000" w:type="pct"/>
        <w:tblLook w:val="04A0" w:firstRow="1" w:lastRow="0" w:firstColumn="0" w:lastColumn="0" w:noHBand="0" w:noVBand="1"/>
      </w:tblPr>
      <w:tblGrid>
        <w:gridCol w:w="4680"/>
        <w:gridCol w:w="4680"/>
      </w:tblGrid>
      <w:tr>
        <w:trPr>
          <w:tblHeader/>
          <w:cantSplit/>
        </w:trPr>
        <w:tc>
          <w:tcPr>
            <w:tcW w:w="4680" w:type="dxa"/>
          </w:tcPr>
          <w:p>
            <w:pPr>
              <w:spacing w:before="60" w:after="60"/>
            </w:pPr>
            <w:r>
              <w:rPr>
                <w:b/>
              </w:rPr>
              <w:t xml:space="preserve">Para hacer esto</w:t>
            </w:r>
          </w:p>
        </w:tc>
        <w:tc>
          <w:tcPr>
            <w:tcW w:w="4680" w:type="dxa"/>
          </w:tcPr>
          <w:p>
            <w:pPr>
              <w:spacing w:before="60" w:after="60"/>
            </w:pPr>
            <w:r>
              <w:rPr>
                <w:b/>
              </w:rPr>
              <w:t xml:space="preserve">Presione</w:t>
            </w:r>
          </w:p>
        </w:tc>
      </w:tr>
      <w:tr>
        <w:trPr>
          <w:cantSplit/>
        </w:trPr>
        <w:tc>
          <w:tcPr>
            <w:tcW w:w="4680" w:type="dxa"/>
          </w:tcPr>
          <w:p>
            <w:pPr>
              <w:spacing w:before="60" w:after="60"/>
            </w:pPr>
            <w:r>
              <w:t xml:space="preserve">Iniciar NVDA (atajo que se configura al instalar NVDA)</w:t>
            </w:r>
          </w:p>
        </w:tc>
        <w:tc>
          <w:tcPr>
            <w:tcW w:w="4680" w:type="dxa"/>
          </w:tcPr>
          <w:p>
            <w:pPr>
              <w:spacing w:before="60" w:after="60"/>
            </w:pPr>
            <w:r>
              <w:t xml:space="preserve">Control + Alt + N</w:t>
            </w:r>
          </w:p>
        </w:tc>
      </w:tr>
      <w:tr>
        <w:trPr>
          <w:cantSplit/>
        </w:trPr>
        <w:tc>
          <w:tcPr>
            <w:tcW w:w="4680" w:type="dxa"/>
          </w:tcPr>
          <w:p>
            <w:pPr>
              <w:spacing w:before="60" w:after="60"/>
            </w:pPr>
            <w:r>
              <w:t xml:space="preserve">Salir de NVDA</w:t>
            </w:r>
          </w:p>
        </w:tc>
        <w:tc>
          <w:tcPr>
            <w:tcW w:w="4680" w:type="dxa"/>
          </w:tcPr>
          <w:p>
            <w:pPr>
              <w:spacing w:before="60" w:after="60"/>
            </w:pPr>
            <w:r>
              <w:t xml:space="preserve">NVDA + Q</w:t>
            </w:r>
          </w:p>
        </w:tc>
      </w:tr>
      <w:tr>
        <w:trPr>
          <w:cantSplit/>
        </w:trPr>
        <w:tc>
          <w:tcPr>
            <w:tcW w:w="4680" w:type="dxa"/>
          </w:tcPr>
          <w:p>
            <w:pPr>
              <w:spacing w:before="60" w:after="60"/>
            </w:pPr>
            <w:r>
              <w:t xml:space="preserve">Hacer que NVDA deje de hablar</w:t>
            </w:r>
          </w:p>
        </w:tc>
        <w:tc>
          <w:tcPr>
            <w:tcW w:w="4680" w:type="dxa"/>
          </w:tcPr>
          <w:p>
            <w:pPr>
              <w:spacing w:before="60" w:after="60"/>
            </w:pPr>
            <w:r>
              <w:t xml:space="preserve">Control</w:t>
            </w:r>
          </w:p>
        </w:tc>
      </w:tr>
      <w:tr>
        <w:trPr>
          <w:cantSplit/>
        </w:trPr>
        <w:tc>
          <w:tcPr>
            <w:tcW w:w="4680" w:type="dxa"/>
          </w:tcPr>
          <w:p>
            <w:pPr>
              <w:spacing w:before="60" w:after="60"/>
            </w:pPr>
            <w:r>
              <w:t xml:space="preserve">Pausar o reanudar la voz</w:t>
            </w:r>
          </w:p>
        </w:tc>
        <w:tc>
          <w:tcPr>
            <w:tcW w:w="4680" w:type="dxa"/>
          </w:tcPr>
          <w:p>
            <w:pPr>
              <w:spacing w:before="60" w:after="60"/>
            </w:pPr>
            <w:r>
              <w:t xml:space="preserve">Mayúsculas</w:t>
            </w:r>
          </w:p>
        </w:tc>
      </w:tr>
      <w:tr>
        <w:trPr>
          <w:cantSplit/>
        </w:trPr>
        <w:tc>
          <w:tcPr>
            <w:tcW w:w="4680" w:type="dxa"/>
          </w:tcPr>
          <w:p>
            <w:pPr>
              <w:spacing w:before="60" w:after="60"/>
            </w:pPr>
            <w:r>
              <w:t xml:space="preserve">Abrir el menú de NVDA</w:t>
            </w:r>
          </w:p>
        </w:tc>
        <w:tc>
          <w:tcPr>
            <w:tcW w:w="4680" w:type="dxa"/>
          </w:tcPr>
          <w:p>
            <w:pPr>
              <w:spacing w:before="60" w:after="60"/>
            </w:pPr>
            <w:r>
              <w:t xml:space="preserve">NVDA + N</w:t>
            </w:r>
          </w:p>
        </w:tc>
      </w:tr>
      <w:tr>
        <w:trPr>
          <w:cantSplit/>
        </w:trPr>
        <w:tc>
          <w:tcPr>
            <w:tcW w:w="4680" w:type="dxa"/>
          </w:tcPr>
          <w:p>
            <w:pPr>
              <w:spacing w:before="60" w:after="60"/>
            </w:pPr>
            <w:r>
              <w:t xml:space="preserve">Cambiar el modo de voz (hablar, pitidos, a petición o desactivado)</w:t>
            </w:r>
          </w:p>
        </w:tc>
        <w:tc>
          <w:tcPr>
            <w:tcW w:w="4680" w:type="dxa"/>
          </w:tcPr>
          <w:p>
            <w:pPr>
              <w:spacing w:before="60" w:after="60"/>
            </w:pPr>
            <w:r>
              <w:t xml:space="preserve">NVDA + S</w:t>
            </w:r>
          </w:p>
        </w:tc>
      </w:tr>
      <w:tr>
        <w:trPr>
          <w:cantSplit/>
        </w:trPr>
        <w:tc>
          <w:tcPr>
            <w:tcW w:w="4680" w:type="dxa"/>
          </w:tcPr>
          <w:p>
            <w:pPr>
              <w:spacing w:before="60" w:after="60"/>
            </w:pPr>
            <w:r>
              <w:t xml:space="preserve">Activar o desactivar el modo dormir para la aplicación actual</w:t>
            </w:r>
          </w:p>
        </w:tc>
        <w:tc>
          <w:tcPr>
            <w:tcW w:w="4680" w:type="dxa"/>
          </w:tcPr>
          <w:p>
            <w:pPr>
              <w:spacing w:before="60" w:after="60"/>
            </w:pPr>
            <w:r>
              <w:t xml:space="preserve">NVDA + Mayúsculas + S (laptop: NVDA + Mayúsculas + Z)</w:t>
            </w:r>
          </w:p>
        </w:tc>
      </w:tr>
    </w:tbl>
    <w:p/>
    <w:p>
      <w:pPr>
        <w:pStyle w:val="Heading2"/>
      </w:pPr>
      <w:r>
        <w:t xml:space="preserve">Leer texto</w:t>
      </w:r>
    </w:p>
    <w:tbl>
      <w:tblPr>
        <w:tblStyle w:val="TableGrid"/>
        <w:tblW w:w="5000" w:type="pct"/>
        <w:tblLook w:val="04A0" w:firstRow="1" w:lastRow="0" w:firstColumn="0" w:lastColumn="0" w:noHBand="0" w:noVBand="1"/>
      </w:tblPr>
      <w:tblGrid>
        <w:gridCol w:w="4680"/>
        <w:gridCol w:w="4680"/>
      </w:tblGrid>
      <w:tr>
        <w:trPr>
          <w:tblHeader/>
          <w:cantSplit/>
        </w:trPr>
        <w:tc>
          <w:tcPr>
            <w:tcW w:w="4680" w:type="dxa"/>
          </w:tcPr>
          <w:p>
            <w:pPr>
              <w:spacing w:before="60" w:after="60"/>
            </w:pPr>
            <w:r>
              <w:rPr>
                <w:b/>
              </w:rPr>
              <w:t xml:space="preserve">Para hacer esto</w:t>
            </w:r>
          </w:p>
        </w:tc>
        <w:tc>
          <w:tcPr>
            <w:tcW w:w="4680" w:type="dxa"/>
          </w:tcPr>
          <w:p>
            <w:pPr>
              <w:spacing w:before="60" w:after="60"/>
            </w:pPr>
            <w:r>
              <w:rPr>
                <w:b/>
              </w:rPr>
              <w:t xml:space="preserve">Presione</w:t>
            </w:r>
          </w:p>
        </w:tc>
      </w:tr>
      <w:tr>
        <w:trPr>
          <w:cantSplit/>
        </w:trPr>
        <w:tc>
          <w:tcPr>
            <w:tcW w:w="4680" w:type="dxa"/>
          </w:tcPr>
          <w:p>
            <w:pPr>
              <w:spacing w:before="60" w:after="60"/>
            </w:pPr>
            <w:r>
              <w:t xml:space="preserve">Leer todo desde aquí en adelante (Leer todo)</w:t>
            </w:r>
          </w:p>
        </w:tc>
        <w:tc>
          <w:tcPr>
            <w:tcW w:w="4680" w:type="dxa"/>
          </w:tcPr>
          <w:p>
            <w:pPr>
              <w:spacing w:before="60" w:after="60"/>
            </w:pPr>
            <w:r>
              <w:t xml:space="preserve">NVDA + Flecha abajo (laptop: NVDA + A)</w:t>
            </w:r>
          </w:p>
        </w:tc>
      </w:tr>
      <w:tr>
        <w:trPr>
          <w:cantSplit/>
        </w:trPr>
        <w:tc>
          <w:tcPr>
            <w:tcW w:w="4680" w:type="dxa"/>
          </w:tcPr>
          <w:p>
            <w:pPr>
              <w:spacing w:before="60" w:after="60"/>
            </w:pPr>
            <w:r>
              <w:t xml:space="preserve">Leer la línea actual</w:t>
            </w:r>
          </w:p>
        </w:tc>
        <w:tc>
          <w:tcPr>
            <w:tcW w:w="4680" w:type="dxa"/>
          </w:tcPr>
          <w:p>
            <w:pPr>
              <w:spacing w:before="60" w:after="60"/>
            </w:pPr>
            <w:r>
              <w:t xml:space="preserve">NVDA + Flecha arriba (laptop: NVDA + L)</w:t>
            </w:r>
          </w:p>
        </w:tc>
      </w:tr>
      <w:tr>
        <w:trPr>
          <w:cantSplit/>
        </w:trPr>
        <w:tc>
          <w:tcPr>
            <w:tcW w:w="4680" w:type="dxa"/>
          </w:tcPr>
          <w:p>
            <w:pPr>
              <w:spacing w:before="60" w:after="60"/>
            </w:pPr>
            <w:r>
              <w:t xml:space="preserve">Leer la línea siguiente o la anterior</w:t>
            </w:r>
          </w:p>
        </w:tc>
        <w:tc>
          <w:tcPr>
            <w:tcW w:w="4680" w:type="dxa"/>
          </w:tcPr>
          <w:p>
            <w:pPr>
              <w:spacing w:before="60" w:after="60"/>
            </w:pPr>
            <w:r>
              <w:t xml:space="preserve">Flecha abajo o Flecha arriba</w:t>
            </w:r>
          </w:p>
        </w:tc>
      </w:tr>
      <w:tr>
        <w:trPr>
          <w:cantSplit/>
        </w:trPr>
        <w:tc>
          <w:tcPr>
            <w:tcW w:w="4680" w:type="dxa"/>
          </w:tcPr>
          <w:p>
            <w:pPr>
              <w:spacing w:before="60" w:after="60"/>
            </w:pPr>
            <w:r>
              <w:t xml:space="preserve">Leer la palabra siguiente o la anterior</w:t>
            </w:r>
          </w:p>
        </w:tc>
        <w:tc>
          <w:tcPr>
            <w:tcW w:w="4680" w:type="dxa"/>
          </w:tcPr>
          <w:p>
            <w:pPr>
              <w:spacing w:before="60" w:after="60"/>
            </w:pPr>
            <w:r>
              <w:t xml:space="preserve">Control + Flecha derecha o Control + Flecha izquierda</w:t>
            </w:r>
          </w:p>
        </w:tc>
      </w:tr>
      <w:tr>
        <w:trPr>
          <w:cantSplit/>
        </w:trPr>
        <w:tc>
          <w:tcPr>
            <w:tcW w:w="4680" w:type="dxa"/>
          </w:tcPr>
          <w:p>
            <w:pPr>
              <w:spacing w:before="60" w:after="60"/>
            </w:pPr>
            <w:r>
              <w:t xml:space="preserve">Leer el carácter siguiente o el anterior</w:t>
            </w:r>
          </w:p>
        </w:tc>
        <w:tc>
          <w:tcPr>
            <w:tcW w:w="4680" w:type="dxa"/>
          </w:tcPr>
          <w:p>
            <w:pPr>
              <w:spacing w:before="60" w:after="60"/>
            </w:pPr>
            <w:r>
              <w:t xml:space="preserve">Flecha derecha o Flecha izquierda</w:t>
            </w:r>
          </w:p>
        </w:tc>
      </w:tr>
      <w:tr>
        <w:trPr>
          <w:cantSplit/>
        </w:trPr>
        <w:tc>
          <w:tcPr>
            <w:tcW w:w="4680" w:type="dxa"/>
          </w:tcPr>
          <w:p>
            <w:pPr>
              <w:spacing w:before="60" w:after="60"/>
            </w:pPr>
            <w:r>
              <w:t xml:space="preserve">Leer el texto seleccionado</w:t>
            </w:r>
          </w:p>
        </w:tc>
        <w:tc>
          <w:tcPr>
            <w:tcW w:w="4680" w:type="dxa"/>
          </w:tcPr>
          <w:p>
            <w:pPr>
              <w:spacing w:before="60" w:after="60"/>
            </w:pPr>
            <w:r>
              <w:t xml:space="preserve">NVDA + Mayúsculas + Flecha arriba (laptop: NVDA + Mayúsculas + S)</w:t>
            </w:r>
          </w:p>
        </w:tc>
      </w:tr>
      <w:tr>
        <w:trPr>
          <w:cantSplit/>
        </w:trPr>
        <w:tc>
          <w:tcPr>
            <w:tcW w:w="4680" w:type="dxa"/>
          </w:tcPr>
          <w:p>
            <w:pPr>
              <w:spacing w:before="60" w:after="60"/>
            </w:pPr>
            <w:r>
              <w:t xml:space="preserve">Escuchar el formato donde está el cursor</w:t>
            </w:r>
          </w:p>
        </w:tc>
        <w:tc>
          <w:tcPr>
            <w:tcW w:w="4680" w:type="dxa"/>
          </w:tcPr>
          <w:p>
            <w:pPr>
              <w:spacing w:before="60" w:after="60"/>
            </w:pPr>
            <w:r>
              <w:t xml:space="preserve">NVDA + F</w:t>
            </w:r>
          </w:p>
        </w:tc>
      </w:tr>
      <w:tr>
        <w:trPr>
          <w:cantSplit/>
        </w:trPr>
        <w:tc>
          <w:tcPr>
            <w:tcW w:w="4680" w:type="dxa"/>
          </w:tcPr>
          <w:p>
            <w:pPr>
              <w:spacing w:before="60" w:after="60"/>
            </w:pPr>
            <w:r>
              <w:t xml:space="preserve">Leer lo que hay en el portapapeles</w:t>
            </w:r>
          </w:p>
        </w:tc>
        <w:tc>
          <w:tcPr>
            <w:tcW w:w="4680" w:type="dxa"/>
          </w:tcPr>
          <w:p>
            <w:pPr>
              <w:spacing w:before="60" w:after="60"/>
            </w:pPr>
            <w:r>
              <w:t xml:space="preserve">NVDA + C</w:t>
            </w:r>
          </w:p>
        </w:tc>
      </w:tr>
    </w:tbl>
    <w:p/>
    <w:p>
      <w:pPr>
        <w:pStyle w:val="Heading2"/>
      </w:pPr>
      <w:r>
        <w:t xml:space="preserve">¿Dónde estoy?</w:t>
      </w:r>
    </w:p>
    <w:tbl>
      <w:tblPr>
        <w:tblStyle w:val="TableGrid"/>
        <w:tblW w:w="5000" w:type="pct"/>
        <w:tblLook w:val="04A0" w:firstRow="1" w:lastRow="0" w:firstColumn="0" w:lastColumn="0" w:noHBand="0" w:noVBand="1"/>
      </w:tblPr>
      <w:tblGrid>
        <w:gridCol w:w="4680"/>
        <w:gridCol w:w="4680"/>
      </w:tblGrid>
      <w:tr>
        <w:trPr>
          <w:tblHeader/>
          <w:cantSplit/>
        </w:trPr>
        <w:tc>
          <w:tcPr>
            <w:tcW w:w="4680" w:type="dxa"/>
          </w:tcPr>
          <w:p>
            <w:pPr>
              <w:spacing w:before="60" w:after="60"/>
            </w:pPr>
            <w:r>
              <w:rPr>
                <w:b/>
              </w:rPr>
              <w:t xml:space="preserve">Para hacer esto</w:t>
            </w:r>
          </w:p>
        </w:tc>
        <w:tc>
          <w:tcPr>
            <w:tcW w:w="4680" w:type="dxa"/>
          </w:tcPr>
          <w:p>
            <w:pPr>
              <w:spacing w:before="60" w:after="60"/>
            </w:pPr>
            <w:r>
              <w:rPr>
                <w:b/>
              </w:rPr>
              <w:t xml:space="preserve">Presione</w:t>
            </w:r>
          </w:p>
        </w:tc>
      </w:tr>
      <w:tr>
        <w:trPr>
          <w:cantSplit/>
        </w:trPr>
        <w:tc>
          <w:tcPr>
            <w:tcW w:w="4680" w:type="dxa"/>
          </w:tcPr>
          <w:p>
            <w:pPr>
              <w:spacing w:before="60" w:after="60"/>
            </w:pPr>
            <w:r>
              <w:t xml:space="preserve">Escuchar el título de la ventana</w:t>
            </w:r>
          </w:p>
        </w:tc>
        <w:tc>
          <w:tcPr>
            <w:tcW w:w="4680" w:type="dxa"/>
          </w:tcPr>
          <w:p>
            <w:pPr>
              <w:spacing w:before="60" w:after="60"/>
            </w:pPr>
            <w:r>
              <w:t xml:space="preserve">NVDA + T</w:t>
            </w:r>
          </w:p>
        </w:tc>
      </w:tr>
      <w:tr>
        <w:trPr>
          <w:cantSplit/>
        </w:trPr>
        <w:tc>
          <w:tcPr>
            <w:tcW w:w="4680" w:type="dxa"/>
          </w:tcPr>
          <w:p>
            <w:pPr>
              <w:spacing w:before="60" w:after="60"/>
            </w:pPr>
            <w:r>
              <w:t xml:space="preserve">Escuchar el elemento que tiene el foco</w:t>
            </w:r>
          </w:p>
        </w:tc>
        <w:tc>
          <w:tcPr>
            <w:tcW w:w="4680" w:type="dxa"/>
          </w:tcPr>
          <w:p>
            <w:pPr>
              <w:spacing w:before="60" w:after="60"/>
            </w:pPr>
            <w:r>
              <w:t xml:space="preserve">NVDA + Tabulador</w:t>
            </w:r>
          </w:p>
        </w:tc>
      </w:tr>
      <w:tr>
        <w:trPr>
          <w:cantSplit/>
        </w:trPr>
        <w:tc>
          <w:tcPr>
            <w:tcW w:w="4680" w:type="dxa"/>
          </w:tcPr>
          <w:p>
            <w:pPr>
              <w:spacing w:before="60" w:after="60"/>
            </w:pPr>
            <w:r>
              <w:t xml:space="preserve">Leer toda la ventana o el cuadro de diálogo</w:t>
            </w:r>
          </w:p>
        </w:tc>
        <w:tc>
          <w:tcPr>
            <w:tcW w:w="4680" w:type="dxa"/>
          </w:tcPr>
          <w:p>
            <w:pPr>
              <w:spacing w:before="60" w:after="60"/>
            </w:pPr>
            <w:r>
              <w:t xml:space="preserve">NVDA + B</w:t>
            </w:r>
          </w:p>
        </w:tc>
      </w:tr>
      <w:tr>
        <w:trPr>
          <w:cantSplit/>
        </w:trPr>
        <w:tc>
          <w:tcPr>
            <w:tcW w:w="4680" w:type="dxa"/>
          </w:tcPr>
          <w:p>
            <w:pPr>
              <w:spacing w:before="60" w:after="60"/>
            </w:pPr>
            <w:r>
              <w:t xml:space="preserve">Leer la barra de estado</w:t>
            </w:r>
          </w:p>
        </w:tc>
        <w:tc>
          <w:tcPr>
            <w:tcW w:w="4680" w:type="dxa"/>
          </w:tcPr>
          <w:p>
            <w:pPr>
              <w:spacing w:before="60" w:after="60"/>
            </w:pPr>
            <w:r>
              <w:t xml:space="preserve">NVDA + Fin (laptop: NVDA + Mayúsculas + Fin)</w:t>
            </w:r>
          </w:p>
        </w:tc>
      </w:tr>
      <w:tr>
        <w:trPr>
          <w:cantSplit/>
        </w:trPr>
        <w:tc>
          <w:tcPr>
            <w:tcW w:w="4680" w:type="dxa"/>
          </w:tcPr>
          <w:p>
            <w:pPr>
              <w:spacing w:before="60" w:after="60"/>
            </w:pPr>
            <w:r>
              <w:t xml:space="preserve">Escuchar la hora (presione dos veces rápidamente para escuchar la fecha)</w:t>
            </w:r>
          </w:p>
        </w:tc>
        <w:tc>
          <w:tcPr>
            <w:tcW w:w="4680" w:type="dxa"/>
          </w:tcPr>
          <w:p>
            <w:pPr>
              <w:spacing w:before="60" w:after="60"/>
            </w:pPr>
            <w:r>
              <w:t xml:space="preserve">NVDA + F12</w:t>
            </w:r>
          </w:p>
        </w:tc>
      </w:tr>
      <w:tr>
        <w:trPr>
          <w:cantSplit/>
        </w:trPr>
        <w:tc>
          <w:tcPr>
            <w:tcW w:w="4680" w:type="dxa"/>
          </w:tcPr>
          <w:p>
            <w:pPr>
              <w:spacing w:before="60" w:after="60"/>
            </w:pPr>
            <w:r>
              <w:t xml:space="preserve">Escuchar el nivel de la batería</w:t>
            </w:r>
          </w:p>
        </w:tc>
        <w:tc>
          <w:tcPr>
            <w:tcW w:w="4680" w:type="dxa"/>
          </w:tcPr>
          <w:p>
            <w:pPr>
              <w:spacing w:before="60" w:after="60"/>
            </w:pPr>
            <w:r>
              <w:t xml:space="preserve">NVDA + Mayúsculas + B</w:t>
            </w:r>
          </w:p>
        </w:tc>
      </w:tr>
    </w:tbl>
    <w:p/>
    <w:p>
      <w:pPr>
        <w:pStyle w:val="Heading2"/>
      </w:pPr>
      <w:r>
        <w:t xml:space="preserve">Páginas web: cómo moverse</w:t>
      </w:r>
    </w:p>
    <w:p>
      <w:r>
        <w:t xml:space="preserve">Estas teclas de una sola letra funcionan en modo exploración, que es el que usa NVDA para leer páginas web. Agregue Mayúsculas para ir hacia atrás; por ejemplo, Mayúsculas + H para ir al encabezado anterior.</w:t>
      </w:r>
    </w:p>
    <w:tbl>
      <w:tblPr>
        <w:tblStyle w:val="TableGrid"/>
        <w:tblW w:w="5000" w:type="pct"/>
        <w:tblLook w:val="04A0" w:firstRow="1" w:lastRow="0" w:firstColumn="0" w:lastColumn="0" w:noHBand="0" w:noVBand="1"/>
      </w:tblPr>
      <w:tblGrid>
        <w:gridCol w:w="4680"/>
        <w:gridCol w:w="4680"/>
      </w:tblGrid>
      <w:tr>
        <w:trPr>
          <w:tblHeader/>
          <w:cantSplit/>
        </w:trPr>
        <w:tc>
          <w:tcPr>
            <w:tcW w:w="4680" w:type="dxa"/>
          </w:tcPr>
          <w:p>
            <w:pPr>
              <w:spacing w:before="60" w:after="60"/>
            </w:pPr>
            <w:r>
              <w:rPr>
                <w:b/>
              </w:rPr>
              <w:t xml:space="preserve">Para hacer esto</w:t>
            </w:r>
          </w:p>
        </w:tc>
        <w:tc>
          <w:tcPr>
            <w:tcW w:w="4680" w:type="dxa"/>
          </w:tcPr>
          <w:p>
            <w:pPr>
              <w:spacing w:before="60" w:after="60"/>
            </w:pPr>
            <w:r>
              <w:rPr>
                <w:b/>
              </w:rPr>
              <w:t xml:space="preserve">Presione</w:t>
            </w:r>
          </w:p>
        </w:tc>
      </w:tr>
      <w:tr>
        <w:trPr>
          <w:cantSplit/>
        </w:trPr>
        <w:tc>
          <w:tcPr>
            <w:tcW w:w="4680" w:type="dxa"/>
          </w:tcPr>
          <w:p>
            <w:pPr>
              <w:spacing w:before="60" w:after="60"/>
            </w:pPr>
            <w:r>
              <w:t xml:space="preserve">Ir al siguiente encabezado</w:t>
            </w:r>
          </w:p>
        </w:tc>
        <w:tc>
          <w:tcPr>
            <w:tcW w:w="4680" w:type="dxa"/>
          </w:tcPr>
          <w:p>
            <w:pPr>
              <w:spacing w:before="60" w:after="60"/>
            </w:pPr>
            <w:r>
              <w:t xml:space="preserve">H</w:t>
            </w:r>
          </w:p>
        </w:tc>
      </w:tr>
      <w:tr>
        <w:trPr>
          <w:cantSplit/>
        </w:trPr>
        <w:tc>
          <w:tcPr>
            <w:tcW w:w="4680" w:type="dxa"/>
          </w:tcPr>
          <w:p>
            <w:pPr>
              <w:spacing w:before="60" w:after="60"/>
            </w:pPr>
            <w:r>
              <w:t xml:space="preserve">Ir al siguiente encabezado de un nivel específico</w:t>
            </w:r>
          </w:p>
        </w:tc>
        <w:tc>
          <w:tcPr>
            <w:tcW w:w="4680" w:type="dxa"/>
          </w:tcPr>
          <w:p>
            <w:pPr>
              <w:spacing w:before="60" w:after="60"/>
            </w:pPr>
            <w:r>
              <w:t xml:space="preserve">1 a 6</w:t>
            </w:r>
          </w:p>
        </w:tc>
      </w:tr>
      <w:tr>
        <w:trPr>
          <w:cantSplit/>
        </w:trPr>
        <w:tc>
          <w:tcPr>
            <w:tcW w:w="4680" w:type="dxa"/>
          </w:tcPr>
          <w:p>
            <w:pPr>
              <w:spacing w:before="60" w:after="60"/>
            </w:pPr>
            <w:r>
              <w:t xml:space="preserve">Ir al siguiente enlace</w:t>
            </w:r>
          </w:p>
        </w:tc>
        <w:tc>
          <w:tcPr>
            <w:tcW w:w="4680" w:type="dxa"/>
          </w:tcPr>
          <w:p>
            <w:pPr>
              <w:spacing w:before="60" w:after="60"/>
            </w:pPr>
            <w:r>
              <w:t xml:space="preserve">K</w:t>
            </w:r>
          </w:p>
        </w:tc>
      </w:tr>
      <w:tr>
        <w:trPr>
          <w:cantSplit/>
        </w:trPr>
        <w:tc>
          <w:tcPr>
            <w:tcW w:w="4680" w:type="dxa"/>
          </w:tcPr>
          <w:p>
            <w:pPr>
              <w:spacing w:before="60" w:after="60"/>
            </w:pPr>
            <w:r>
              <w:t xml:space="preserve">Ir al siguiente enlace que no ha visitado</w:t>
            </w:r>
          </w:p>
        </w:tc>
        <w:tc>
          <w:tcPr>
            <w:tcW w:w="4680" w:type="dxa"/>
          </w:tcPr>
          <w:p>
            <w:pPr>
              <w:spacing w:before="60" w:after="60"/>
            </w:pPr>
            <w:r>
              <w:t xml:space="preserve">U</w:t>
            </w:r>
          </w:p>
        </w:tc>
      </w:tr>
      <w:tr>
        <w:trPr>
          <w:cantSplit/>
        </w:trPr>
        <w:tc>
          <w:tcPr>
            <w:tcW w:w="4680" w:type="dxa"/>
          </w:tcPr>
          <w:p>
            <w:pPr>
              <w:spacing w:before="60" w:after="60"/>
            </w:pPr>
            <w:r>
              <w:t xml:space="preserve">Ir al siguiente campo de formulario</w:t>
            </w:r>
          </w:p>
        </w:tc>
        <w:tc>
          <w:tcPr>
            <w:tcW w:w="4680" w:type="dxa"/>
          </w:tcPr>
          <w:p>
            <w:pPr>
              <w:spacing w:before="60" w:after="60"/>
            </w:pPr>
            <w:r>
              <w:t xml:space="preserve">F</w:t>
            </w:r>
          </w:p>
        </w:tc>
      </w:tr>
      <w:tr>
        <w:trPr>
          <w:cantSplit/>
        </w:trPr>
        <w:tc>
          <w:tcPr>
            <w:tcW w:w="4680" w:type="dxa"/>
          </w:tcPr>
          <w:p>
            <w:pPr>
              <w:spacing w:before="60" w:after="60"/>
            </w:pPr>
            <w:r>
              <w:t xml:space="preserve">Ir al siguiente botón</w:t>
            </w:r>
          </w:p>
        </w:tc>
        <w:tc>
          <w:tcPr>
            <w:tcW w:w="4680" w:type="dxa"/>
          </w:tcPr>
          <w:p>
            <w:pPr>
              <w:spacing w:before="60" w:after="60"/>
            </w:pPr>
            <w:r>
              <w:t xml:space="preserve">B</w:t>
            </w:r>
          </w:p>
        </w:tc>
      </w:tr>
      <w:tr>
        <w:trPr>
          <w:cantSplit/>
        </w:trPr>
        <w:tc>
          <w:tcPr>
            <w:tcW w:w="4680" w:type="dxa"/>
          </w:tcPr>
          <w:p>
            <w:pPr>
              <w:spacing w:before="60" w:after="60"/>
            </w:pPr>
            <w:r>
              <w:t xml:space="preserve">Ir al siguiente campo de edición</w:t>
            </w:r>
          </w:p>
        </w:tc>
        <w:tc>
          <w:tcPr>
            <w:tcW w:w="4680" w:type="dxa"/>
          </w:tcPr>
          <w:p>
            <w:pPr>
              <w:spacing w:before="60" w:after="60"/>
            </w:pPr>
            <w:r>
              <w:t xml:space="preserve">E</w:t>
            </w:r>
          </w:p>
        </w:tc>
      </w:tr>
      <w:tr>
        <w:trPr>
          <w:cantSplit/>
        </w:trPr>
        <w:tc>
          <w:tcPr>
            <w:tcW w:w="4680" w:type="dxa"/>
          </w:tcPr>
          <w:p>
            <w:pPr>
              <w:spacing w:before="60" w:after="60"/>
            </w:pPr>
            <w:r>
              <w:t xml:space="preserve">Ir a la siguiente lista</w:t>
            </w:r>
          </w:p>
        </w:tc>
        <w:tc>
          <w:tcPr>
            <w:tcW w:w="4680" w:type="dxa"/>
          </w:tcPr>
          <w:p>
            <w:pPr>
              <w:spacing w:before="60" w:after="60"/>
            </w:pPr>
            <w:r>
              <w:t xml:space="preserve">L</w:t>
            </w:r>
          </w:p>
        </w:tc>
      </w:tr>
      <w:tr>
        <w:trPr>
          <w:cantSplit/>
        </w:trPr>
        <w:tc>
          <w:tcPr>
            <w:tcW w:w="4680" w:type="dxa"/>
          </w:tcPr>
          <w:p>
            <w:pPr>
              <w:spacing w:before="60" w:after="60"/>
            </w:pPr>
            <w:r>
              <w:t xml:space="preserve">Ir al siguiente punto de referencia</w:t>
            </w:r>
          </w:p>
        </w:tc>
        <w:tc>
          <w:tcPr>
            <w:tcW w:w="4680" w:type="dxa"/>
          </w:tcPr>
          <w:p>
            <w:pPr>
              <w:spacing w:before="60" w:after="60"/>
            </w:pPr>
            <w:r>
              <w:t xml:space="preserve">D</w:t>
            </w:r>
          </w:p>
        </w:tc>
      </w:tr>
      <w:tr>
        <w:trPr>
          <w:cantSplit/>
        </w:trPr>
        <w:tc>
          <w:tcPr>
            <w:tcW w:w="4680" w:type="dxa"/>
          </w:tcPr>
          <w:p>
            <w:pPr>
              <w:spacing w:before="60" w:after="60"/>
            </w:pPr>
            <w:r>
              <w:t xml:space="preserve">Ir a la siguiente imagen</w:t>
            </w:r>
          </w:p>
        </w:tc>
        <w:tc>
          <w:tcPr>
            <w:tcW w:w="4680" w:type="dxa"/>
          </w:tcPr>
          <w:p>
            <w:pPr>
              <w:spacing w:before="60" w:after="60"/>
            </w:pPr>
            <w:r>
              <w:t xml:space="preserve">G</w:t>
            </w:r>
          </w:p>
        </w:tc>
      </w:tr>
    </w:tbl>
    <w:p/>
    <w:p>
      <w:pPr>
        <w:pStyle w:val="Heading2"/>
      </w:pPr>
      <w:r>
        <w:t xml:space="preserve">Páginas web: listas y modos</w:t>
      </w:r>
    </w:p>
    <w:p>
      <w:r>
        <w:t xml:space="preserve">NVDA normalmente cambia solo al modo foco cuando usted entra en un campo de texto.</w:t>
      </w:r>
    </w:p>
    <w:tbl>
      <w:tblPr>
        <w:tblStyle w:val="TableGrid"/>
        <w:tblW w:w="5000" w:type="pct"/>
        <w:tblLook w:val="04A0" w:firstRow="1" w:lastRow="0" w:firstColumn="0" w:lastColumn="0" w:noHBand="0" w:noVBand="1"/>
      </w:tblPr>
      <w:tblGrid>
        <w:gridCol w:w="4680"/>
        <w:gridCol w:w="4680"/>
      </w:tblGrid>
      <w:tr>
        <w:trPr>
          <w:tblHeader/>
          <w:cantSplit/>
        </w:trPr>
        <w:tc>
          <w:tcPr>
            <w:tcW w:w="4680" w:type="dxa"/>
          </w:tcPr>
          <w:p>
            <w:pPr>
              <w:spacing w:before="60" w:after="60"/>
            </w:pPr>
            <w:r>
              <w:rPr>
                <w:b/>
              </w:rPr>
              <w:t xml:space="preserve">Para hacer esto</w:t>
            </w:r>
          </w:p>
        </w:tc>
        <w:tc>
          <w:tcPr>
            <w:tcW w:w="4680" w:type="dxa"/>
          </w:tcPr>
          <w:p>
            <w:pPr>
              <w:spacing w:before="60" w:after="60"/>
            </w:pPr>
            <w:r>
              <w:rPr>
                <w:b/>
              </w:rPr>
              <w:t xml:space="preserve">Presione</w:t>
            </w:r>
          </w:p>
        </w:tc>
      </w:tr>
      <w:tr>
        <w:trPr>
          <w:cantSplit/>
        </w:trPr>
        <w:tc>
          <w:tcPr>
            <w:tcW w:w="4680" w:type="dxa"/>
          </w:tcPr>
          <w:p>
            <w:pPr>
              <w:spacing w:before="60" w:after="60"/>
            </w:pPr>
            <w:r>
              <w:t xml:space="preserve">Ver la lista de encabezados, enlaces, puntos de referencia y más</w:t>
            </w:r>
          </w:p>
        </w:tc>
        <w:tc>
          <w:tcPr>
            <w:tcW w:w="4680" w:type="dxa"/>
          </w:tcPr>
          <w:p>
            <w:pPr>
              <w:spacing w:before="60" w:after="60"/>
            </w:pPr>
            <w:r>
              <w:t xml:space="preserve">NVDA + F7</w:t>
            </w:r>
          </w:p>
        </w:tc>
      </w:tr>
      <w:tr>
        <w:trPr>
          <w:cantSplit/>
        </w:trPr>
        <w:tc>
          <w:tcPr>
            <w:tcW w:w="4680" w:type="dxa"/>
          </w:tcPr>
          <w:p>
            <w:pPr>
              <w:spacing w:before="60" w:after="60"/>
            </w:pPr>
            <w:r>
              <w:t xml:space="preserve">Cambiar entre el modo exploración y el modo foco</w:t>
            </w:r>
          </w:p>
        </w:tc>
        <w:tc>
          <w:tcPr>
            <w:tcW w:w="4680" w:type="dxa"/>
          </w:tcPr>
          <w:p>
            <w:pPr>
              <w:spacing w:before="60" w:after="60"/>
            </w:pPr>
            <w:r>
              <w:t xml:space="preserve">NVDA + Espacio</w:t>
            </w:r>
          </w:p>
        </w:tc>
      </w:tr>
      <w:tr>
        <w:trPr>
          <w:cantSplit/>
        </w:trPr>
        <w:tc>
          <w:tcPr>
            <w:tcW w:w="4680" w:type="dxa"/>
          </w:tcPr>
          <w:p>
            <w:pPr>
              <w:spacing w:before="60" w:after="60"/>
            </w:pPr>
            <w:r>
              <w:t xml:space="preserve">Salir del modo foco y volver al modo exploración</w:t>
            </w:r>
          </w:p>
        </w:tc>
        <w:tc>
          <w:tcPr>
            <w:tcW w:w="4680" w:type="dxa"/>
          </w:tcPr>
          <w:p>
            <w:pPr>
              <w:spacing w:before="60" w:after="60"/>
            </w:pPr>
            <w:r>
              <w:t xml:space="preserve">Escape</w:t>
            </w:r>
          </w:p>
        </w:tc>
      </w:tr>
      <w:tr>
        <w:trPr>
          <w:cantSplit/>
        </w:trPr>
        <w:tc>
          <w:tcPr>
            <w:tcW w:w="4680" w:type="dxa"/>
          </w:tcPr>
          <w:p>
            <w:pPr>
              <w:spacing w:before="60" w:after="60"/>
            </w:pPr>
            <w:r>
              <w:t xml:space="preserve">Activar o desactivar la navegación con una sola letra</w:t>
            </w:r>
          </w:p>
        </w:tc>
        <w:tc>
          <w:tcPr>
            <w:tcW w:w="4680" w:type="dxa"/>
          </w:tcPr>
          <w:p>
            <w:pPr>
              <w:spacing w:before="60" w:after="60"/>
            </w:pPr>
            <w:r>
              <w:t xml:space="preserve">NVDA + Mayúsculas + Espacio</w:t>
            </w:r>
          </w:p>
        </w:tc>
      </w:tr>
      <w:tr>
        <w:trPr>
          <w:cantSplit/>
        </w:trPr>
        <w:tc>
          <w:tcPr>
            <w:tcW w:w="4680" w:type="dxa"/>
          </w:tcPr>
          <w:p>
            <w:pPr>
              <w:spacing w:before="60" w:after="60"/>
            </w:pPr>
            <w:r>
              <w:t xml:space="preserve">Buscar texto en la página</w:t>
            </w:r>
          </w:p>
        </w:tc>
        <w:tc>
          <w:tcPr>
            <w:tcW w:w="4680" w:type="dxa"/>
          </w:tcPr>
          <w:p>
            <w:pPr>
              <w:spacing w:before="60" w:after="60"/>
            </w:pPr>
            <w:r>
              <w:t xml:space="preserve">NVDA + Control + F</w:t>
            </w:r>
          </w:p>
        </w:tc>
      </w:tr>
      <w:tr>
        <w:trPr>
          <w:cantSplit/>
        </w:trPr>
        <w:tc>
          <w:tcPr>
            <w:tcW w:w="4680" w:type="dxa"/>
          </w:tcPr>
          <w:p>
            <w:pPr>
              <w:spacing w:before="60" w:after="60"/>
            </w:pPr>
            <w:r>
              <w:t xml:space="preserve">Buscar la siguiente coincidencia</w:t>
            </w:r>
          </w:p>
        </w:tc>
        <w:tc>
          <w:tcPr>
            <w:tcW w:w="4680" w:type="dxa"/>
          </w:tcPr>
          <w:p>
            <w:pPr>
              <w:spacing w:before="60" w:after="60"/>
            </w:pPr>
            <w:r>
              <w:t xml:space="preserve">NVDA + F3</w:t>
            </w:r>
          </w:p>
        </w:tc>
      </w:tr>
      <w:tr>
        <w:trPr>
          <w:cantSplit/>
        </w:trPr>
        <w:tc>
          <w:tcPr>
            <w:tcW w:w="4680" w:type="dxa"/>
          </w:tcPr>
          <w:p>
            <w:pPr>
              <w:spacing w:before="60" w:after="60"/>
            </w:pPr>
            <w:r>
              <w:t xml:space="preserve">Escuchar a dónde lleva un enlace</w:t>
            </w:r>
          </w:p>
        </w:tc>
        <w:tc>
          <w:tcPr>
            <w:tcW w:w="4680" w:type="dxa"/>
          </w:tcPr>
          <w:p>
            <w:pPr>
              <w:spacing w:before="60" w:after="60"/>
            </w:pPr>
            <w:r>
              <w:t xml:space="preserve">NVDA + K</w:t>
            </w:r>
          </w:p>
        </w:tc>
      </w:tr>
    </w:tbl>
    <w:p/>
    <w:p>
      <w:pPr>
        <w:pStyle w:val="Heading2"/>
      </w:pPr>
      <w:r>
        <w:t xml:space="preserve">Tablas</w:t>
      </w:r>
    </w:p>
    <w:tbl>
      <w:tblPr>
        <w:tblStyle w:val="TableGrid"/>
        <w:tblW w:w="5000" w:type="pct"/>
        <w:tblLook w:val="04A0" w:firstRow="1" w:lastRow="0" w:firstColumn="0" w:lastColumn="0" w:noHBand="0" w:noVBand="1"/>
      </w:tblPr>
      <w:tblGrid>
        <w:gridCol w:w="4680"/>
        <w:gridCol w:w="4680"/>
      </w:tblGrid>
      <w:tr>
        <w:trPr>
          <w:tblHeader/>
          <w:cantSplit/>
        </w:trPr>
        <w:tc>
          <w:tcPr>
            <w:tcW w:w="4680" w:type="dxa"/>
          </w:tcPr>
          <w:p>
            <w:pPr>
              <w:spacing w:before="60" w:after="60"/>
            </w:pPr>
            <w:r>
              <w:rPr>
                <w:b/>
              </w:rPr>
              <w:t xml:space="preserve">Para hacer esto</w:t>
            </w:r>
          </w:p>
        </w:tc>
        <w:tc>
          <w:tcPr>
            <w:tcW w:w="4680" w:type="dxa"/>
          </w:tcPr>
          <w:p>
            <w:pPr>
              <w:spacing w:before="60" w:after="60"/>
            </w:pPr>
            <w:r>
              <w:rPr>
                <w:b/>
              </w:rPr>
              <w:t xml:space="preserve">Presione</w:t>
            </w:r>
          </w:p>
        </w:tc>
      </w:tr>
      <w:tr>
        <w:trPr>
          <w:cantSplit/>
        </w:trPr>
        <w:tc>
          <w:tcPr>
            <w:tcW w:w="4680" w:type="dxa"/>
          </w:tcPr>
          <w:p>
            <w:pPr>
              <w:spacing w:before="60" w:after="60"/>
            </w:pPr>
            <w:r>
              <w:t xml:space="preserve">Ir a la siguiente tabla</w:t>
            </w:r>
          </w:p>
        </w:tc>
        <w:tc>
          <w:tcPr>
            <w:tcW w:w="4680" w:type="dxa"/>
          </w:tcPr>
          <w:p>
            <w:pPr>
              <w:spacing w:before="60" w:after="60"/>
            </w:pPr>
            <w:r>
              <w:t xml:space="preserve">T</w:t>
            </w:r>
          </w:p>
        </w:tc>
      </w:tr>
      <w:tr>
        <w:trPr>
          <w:cantSplit/>
        </w:trPr>
        <w:tc>
          <w:tcPr>
            <w:tcW w:w="4680" w:type="dxa"/>
          </w:tcPr>
          <w:p>
            <w:pPr>
              <w:spacing w:before="60" w:after="60"/>
            </w:pPr>
            <w:r>
              <w:t xml:space="preserve">Ir a la celda siguiente de la fila</w:t>
            </w:r>
          </w:p>
        </w:tc>
        <w:tc>
          <w:tcPr>
            <w:tcW w:w="4680" w:type="dxa"/>
          </w:tcPr>
          <w:p>
            <w:pPr>
              <w:spacing w:before="60" w:after="60"/>
            </w:pPr>
            <w:r>
              <w:t xml:space="preserve">Control + Alt + Flecha derecha</w:t>
            </w:r>
          </w:p>
        </w:tc>
      </w:tr>
      <w:tr>
        <w:trPr>
          <w:cantSplit/>
        </w:trPr>
        <w:tc>
          <w:tcPr>
            <w:tcW w:w="4680" w:type="dxa"/>
          </w:tcPr>
          <w:p>
            <w:pPr>
              <w:spacing w:before="60" w:after="60"/>
            </w:pPr>
            <w:r>
              <w:t xml:space="preserve">Ir a la celda anterior de la fila</w:t>
            </w:r>
          </w:p>
        </w:tc>
        <w:tc>
          <w:tcPr>
            <w:tcW w:w="4680" w:type="dxa"/>
          </w:tcPr>
          <w:p>
            <w:pPr>
              <w:spacing w:before="60" w:after="60"/>
            </w:pPr>
            <w:r>
              <w:t xml:space="preserve">Control + Alt + Flecha izquierda</w:t>
            </w:r>
          </w:p>
        </w:tc>
      </w:tr>
      <w:tr>
        <w:trPr>
          <w:cantSplit/>
        </w:trPr>
        <w:tc>
          <w:tcPr>
            <w:tcW w:w="4680" w:type="dxa"/>
          </w:tcPr>
          <w:p>
            <w:pPr>
              <w:spacing w:before="60" w:after="60"/>
            </w:pPr>
            <w:r>
              <w:t xml:space="preserve">Ir a la celda de abajo</w:t>
            </w:r>
          </w:p>
        </w:tc>
        <w:tc>
          <w:tcPr>
            <w:tcW w:w="4680" w:type="dxa"/>
          </w:tcPr>
          <w:p>
            <w:pPr>
              <w:spacing w:before="60" w:after="60"/>
            </w:pPr>
            <w:r>
              <w:t xml:space="preserve">Control + Alt + Flecha abajo</w:t>
            </w:r>
          </w:p>
        </w:tc>
      </w:tr>
      <w:tr>
        <w:trPr>
          <w:cantSplit/>
        </w:trPr>
        <w:tc>
          <w:tcPr>
            <w:tcW w:w="4680" w:type="dxa"/>
          </w:tcPr>
          <w:p>
            <w:pPr>
              <w:spacing w:before="60" w:after="60"/>
            </w:pPr>
            <w:r>
              <w:t xml:space="preserve">Ir a la celda de arriba</w:t>
            </w:r>
          </w:p>
        </w:tc>
        <w:tc>
          <w:tcPr>
            <w:tcW w:w="4680" w:type="dxa"/>
          </w:tcPr>
          <w:p>
            <w:pPr>
              <w:spacing w:before="60" w:after="60"/>
            </w:pPr>
            <w:r>
              <w:t xml:space="preserve">Control + Alt + Flecha arriba</w:t>
            </w:r>
          </w:p>
        </w:tc>
      </w:tr>
    </w:tbl>
    <w:p/>
    <w:p>
      <w:pPr>
        <w:pStyle w:val="Heading2"/>
      </w:pPr>
      <w:r>
        <w:t xml:space="preserve">Voz y configuración</w:t>
      </w:r>
    </w:p>
    <w:p>
      <w:r>
        <w:t xml:space="preserve">El anillo de opciones del sintetizador le permite cambiar la velocidad, el volumen, el tono y la voz sin abrir un menú. En la distribución para laptop, agregue Mayúsculas; por ejemplo, NVDA + Mayúsculas + Control + Flecha arriba.</w:t>
      </w:r>
    </w:p>
    <w:tbl>
      <w:tblPr>
        <w:tblStyle w:val="TableGrid"/>
        <w:tblW w:w="5000" w:type="pct"/>
        <w:tblLook w:val="04A0" w:firstRow="1" w:lastRow="0" w:firstColumn="0" w:lastColumn="0" w:noHBand="0" w:noVBand="1"/>
      </w:tblPr>
      <w:tblGrid>
        <w:gridCol w:w="4680"/>
        <w:gridCol w:w="4680"/>
      </w:tblGrid>
      <w:tr>
        <w:trPr>
          <w:tblHeader/>
          <w:cantSplit/>
        </w:trPr>
        <w:tc>
          <w:tcPr>
            <w:tcW w:w="4680" w:type="dxa"/>
          </w:tcPr>
          <w:p>
            <w:pPr>
              <w:spacing w:before="60" w:after="60"/>
            </w:pPr>
            <w:r>
              <w:rPr>
                <w:b/>
              </w:rPr>
              <w:t xml:space="preserve">Para hacer esto</w:t>
            </w:r>
          </w:p>
        </w:tc>
        <w:tc>
          <w:tcPr>
            <w:tcW w:w="4680" w:type="dxa"/>
          </w:tcPr>
          <w:p>
            <w:pPr>
              <w:spacing w:before="60" w:after="60"/>
            </w:pPr>
            <w:r>
              <w:rPr>
                <w:b/>
              </w:rPr>
              <w:t xml:space="preserve">Presione</w:t>
            </w:r>
          </w:p>
        </w:tc>
      </w:tr>
      <w:tr>
        <w:trPr>
          <w:cantSplit/>
        </w:trPr>
        <w:tc>
          <w:tcPr>
            <w:tcW w:w="4680" w:type="dxa"/>
          </w:tcPr>
          <w:p>
            <w:pPr>
              <w:spacing w:before="60" w:after="60"/>
            </w:pPr>
            <w:r>
              <w:t xml:space="preserve">Elegir una opción en el anillo de opciones del sintetizador, como la velocidad o el volumen</w:t>
            </w:r>
          </w:p>
        </w:tc>
        <w:tc>
          <w:tcPr>
            <w:tcW w:w="4680" w:type="dxa"/>
          </w:tcPr>
          <w:p>
            <w:pPr>
              <w:spacing w:before="60" w:after="60"/>
            </w:pPr>
            <w:r>
              <w:t xml:space="preserve">NVDA + Control + Flecha derecha o NVDA + Control + Flecha izquierda</w:t>
            </w:r>
          </w:p>
        </w:tc>
      </w:tr>
      <w:tr>
        <w:trPr>
          <w:cantSplit/>
        </w:trPr>
        <w:tc>
          <w:tcPr>
            <w:tcW w:w="4680" w:type="dxa"/>
          </w:tcPr>
          <w:p>
            <w:pPr>
              <w:spacing w:before="60" w:after="60"/>
            </w:pPr>
            <w:r>
              <w:t xml:space="preserve">Subir o bajar la opción elegida</w:t>
            </w:r>
          </w:p>
        </w:tc>
        <w:tc>
          <w:tcPr>
            <w:tcW w:w="4680" w:type="dxa"/>
          </w:tcPr>
          <w:p>
            <w:pPr>
              <w:spacing w:before="60" w:after="60"/>
            </w:pPr>
            <w:r>
              <w:t xml:space="preserve">NVDA + Control + Flecha arriba o NVDA + Control + Flecha abajo</w:t>
            </w:r>
          </w:p>
        </w:tc>
      </w:tr>
      <w:tr>
        <w:trPr>
          <w:cantSplit/>
        </w:trPr>
        <w:tc>
          <w:tcPr>
            <w:tcW w:w="4680" w:type="dxa"/>
          </w:tcPr>
          <w:p>
            <w:pPr>
              <w:spacing w:before="60" w:after="60"/>
            </w:pPr>
            <w:r>
              <w:t xml:space="preserve">Abrir las opciones de Voz</w:t>
            </w:r>
          </w:p>
        </w:tc>
        <w:tc>
          <w:tcPr>
            <w:tcW w:w="4680" w:type="dxa"/>
          </w:tcPr>
          <w:p>
            <w:pPr>
              <w:spacing w:before="60" w:after="60"/>
            </w:pPr>
            <w:r>
              <w:t xml:space="preserve">NVDA + Control + V</w:t>
            </w:r>
          </w:p>
        </w:tc>
      </w:tr>
      <w:tr>
        <w:trPr>
          <w:cantSplit/>
        </w:trPr>
        <w:tc>
          <w:tcPr>
            <w:tcW w:w="4680" w:type="dxa"/>
          </w:tcPr>
          <w:p>
            <w:pPr>
              <w:spacing w:before="60" w:after="60"/>
            </w:pPr>
            <w:r>
              <w:t xml:space="preserve">Abrir las opciones Generales</w:t>
            </w:r>
          </w:p>
        </w:tc>
        <w:tc>
          <w:tcPr>
            <w:tcW w:w="4680" w:type="dxa"/>
          </w:tcPr>
          <w:p>
            <w:pPr>
              <w:spacing w:before="60" w:after="60"/>
            </w:pPr>
            <w:r>
              <w:t xml:space="preserve">NVDA + Control + G</w:t>
            </w:r>
          </w:p>
        </w:tc>
      </w:tr>
      <w:tr>
        <w:trPr>
          <w:cantSplit/>
        </w:trPr>
        <w:tc>
          <w:tcPr>
            <w:tcW w:w="4680" w:type="dxa"/>
          </w:tcPr>
          <w:p>
            <w:pPr>
              <w:spacing w:before="60" w:after="60"/>
            </w:pPr>
            <w:r>
              <w:t xml:space="preserve">Abrir las opciones de Teclado</w:t>
            </w:r>
          </w:p>
        </w:tc>
        <w:tc>
          <w:tcPr>
            <w:tcW w:w="4680" w:type="dxa"/>
          </w:tcPr>
          <w:p>
            <w:pPr>
              <w:spacing w:before="60" w:after="60"/>
            </w:pPr>
            <w:r>
              <w:t xml:space="preserve">NVDA + Control + K</w:t>
            </w:r>
          </w:p>
        </w:tc>
      </w:tr>
      <w:tr>
        <w:trPr>
          <w:cantSplit/>
        </w:trPr>
        <w:tc>
          <w:tcPr>
            <w:tcW w:w="4680" w:type="dxa"/>
          </w:tcPr>
          <w:p>
            <w:pPr>
              <w:spacing w:before="60" w:after="60"/>
            </w:pPr>
            <w:r>
              <w:t xml:space="preserve">Activar o desactivar la lectura de los caracteres que escribe</w:t>
            </w:r>
          </w:p>
        </w:tc>
        <w:tc>
          <w:tcPr>
            <w:tcW w:w="4680" w:type="dxa"/>
          </w:tcPr>
          <w:p>
            <w:pPr>
              <w:spacing w:before="60" w:after="60"/>
            </w:pPr>
            <w:r>
              <w:t xml:space="preserve">NVDA + 2</w:t>
            </w:r>
          </w:p>
        </w:tc>
      </w:tr>
      <w:tr>
        <w:trPr>
          <w:cantSplit/>
        </w:trPr>
        <w:tc>
          <w:tcPr>
            <w:tcW w:w="4680" w:type="dxa"/>
          </w:tcPr>
          <w:p>
            <w:pPr>
              <w:spacing w:before="60" w:after="60"/>
            </w:pPr>
            <w:r>
              <w:t xml:space="preserve">Activar o desactivar la lectura de las palabras que escribe</w:t>
            </w:r>
          </w:p>
        </w:tc>
        <w:tc>
          <w:tcPr>
            <w:tcW w:w="4680" w:type="dxa"/>
          </w:tcPr>
          <w:p>
            <w:pPr>
              <w:spacing w:before="60" w:after="60"/>
            </w:pPr>
            <w:r>
              <w:t xml:space="preserve">NVDA + 3</w:t>
            </w:r>
          </w:p>
        </w:tc>
      </w:tr>
    </w:tbl>
    <w:p/>
    <w:p>
      <w:pPr>
        <w:pStyle w:val="Heading2"/>
      </w:pPr>
      <w:r>
        <w:t xml:space="preserve">Ayuda y funciones útiles</w:t>
      </w:r>
    </w:p>
    <w:tbl>
      <w:tblPr>
        <w:tblStyle w:val="TableGrid"/>
        <w:tblW w:w="5000" w:type="pct"/>
        <w:tblLook w:val="04A0" w:firstRow="1" w:lastRow="0" w:firstColumn="0" w:lastColumn="0" w:noHBand="0" w:noVBand="1"/>
      </w:tblPr>
      <w:tblGrid>
        <w:gridCol w:w="4680"/>
        <w:gridCol w:w="4680"/>
      </w:tblGrid>
      <w:tr>
        <w:trPr>
          <w:tblHeader/>
          <w:cantSplit/>
        </w:trPr>
        <w:tc>
          <w:tcPr>
            <w:tcW w:w="4680" w:type="dxa"/>
          </w:tcPr>
          <w:p>
            <w:pPr>
              <w:spacing w:before="60" w:after="60"/>
            </w:pPr>
            <w:r>
              <w:rPr>
                <w:b/>
              </w:rPr>
              <w:t xml:space="preserve">Para hacer esto</w:t>
            </w:r>
          </w:p>
        </w:tc>
        <w:tc>
          <w:tcPr>
            <w:tcW w:w="4680" w:type="dxa"/>
          </w:tcPr>
          <w:p>
            <w:pPr>
              <w:spacing w:before="60" w:after="60"/>
            </w:pPr>
            <w:r>
              <w:rPr>
                <w:b/>
              </w:rPr>
              <w:t xml:space="preserve">Presione</w:t>
            </w:r>
          </w:p>
        </w:tc>
      </w:tr>
      <w:tr>
        <w:trPr>
          <w:cantSplit/>
        </w:trPr>
        <w:tc>
          <w:tcPr>
            <w:tcW w:w="4680" w:type="dxa"/>
          </w:tcPr>
          <w:p>
            <w:pPr>
              <w:spacing w:before="60" w:after="60"/>
            </w:pPr>
            <w:r>
              <w:t xml:space="preserve">Activar o desactivar la ayuda de entrada</w:t>
            </w:r>
          </w:p>
        </w:tc>
        <w:tc>
          <w:tcPr>
            <w:tcW w:w="4680" w:type="dxa"/>
          </w:tcPr>
          <w:p>
            <w:pPr>
              <w:spacing w:before="60" w:after="60"/>
            </w:pPr>
            <w:r>
              <w:t xml:space="preserve">NVDA + 1</w:t>
            </w:r>
          </w:p>
        </w:tc>
      </w:tr>
      <w:tr>
        <w:trPr>
          <w:cantSplit/>
        </w:trPr>
        <w:tc>
          <w:tcPr>
            <w:tcW w:w="4680" w:type="dxa"/>
          </w:tcPr>
          <w:p>
            <w:pPr>
              <w:spacing w:before="60" w:after="60"/>
            </w:pPr>
            <w:r>
              <w:t xml:space="preserve">Enviar la siguiente tecla directamente a la aplicación, sin que NVDA la procese</w:t>
            </w:r>
          </w:p>
        </w:tc>
        <w:tc>
          <w:tcPr>
            <w:tcW w:w="4680" w:type="dxa"/>
          </w:tcPr>
          <w:p>
            <w:pPr>
              <w:spacing w:before="60" w:after="60"/>
            </w:pPr>
            <w:r>
              <w:t xml:space="preserve">NVDA + F2</w:t>
            </w:r>
          </w:p>
        </w:tc>
      </w:tr>
      <w:tr>
        <w:trPr>
          <w:cantSplit/>
        </w:trPr>
        <w:tc>
          <w:tcPr>
            <w:tcW w:w="4680" w:type="dxa"/>
          </w:tcPr>
          <w:p>
            <w:pPr>
              <w:spacing w:before="60" w:after="60"/>
            </w:pPr>
            <w:r>
              <w:t xml:space="preserve">Activar o desactivar la cortina de pantalla, para poner la pantalla en negro por privacidad</w:t>
            </w:r>
          </w:p>
        </w:tc>
        <w:tc>
          <w:tcPr>
            <w:tcW w:w="4680" w:type="dxa"/>
          </w:tcPr>
          <w:p>
            <w:pPr>
              <w:spacing w:before="60" w:after="60"/>
            </w:pPr>
            <w:r>
              <w:t xml:space="preserve">NVDA + Control + Escape</w:t>
            </w:r>
          </w:p>
        </w:tc>
      </w:tr>
      <w:tr>
        <w:trPr>
          <w:cantSplit/>
        </w:trPr>
        <w:tc>
          <w:tcPr>
            <w:tcW w:w="4680" w:type="dxa"/>
          </w:tcPr>
          <w:p>
            <w:pPr>
              <w:spacing w:before="60" w:after="60"/>
            </w:pPr>
            <w:r>
              <w:t xml:space="preserve">Leer el texto de una imagen o de una aplicación no accesible con el OCR de Windows</w:t>
            </w:r>
          </w:p>
        </w:tc>
        <w:tc>
          <w:tcPr>
            <w:tcW w:w="4680" w:type="dxa"/>
          </w:tcPr>
          <w:p>
            <w:pPr>
              <w:spacing w:before="60" w:after="60"/>
            </w:pPr>
            <w:r>
              <w:t xml:space="preserve">NVDA + R</w:t>
            </w:r>
          </w:p>
        </w:tc>
      </w:tr>
    </w:tbl>
    <w:p/>
    <w:p>
      <w:r>
        <w:t xml:space="preserve">Consejo: presione NVDA + 1 para activar la ayuda de entrada. Luego presione cualquier tecla o combinación para escuchar qué hace, sin que se realice la acción. Presione NVDA + 1 otra vez para desactivarla. Puede encontrar la lista completa de comandos en el menú de NVDA (NVDA + N), en Ayuda y luego Referencia rápida de comandos.</w:t>
      </w:r>
    </w:p>
    <w:p>
      <w:r>
        <w:t xml:space="preserve">De Full Circle AT, fullcircleat.com. Llame o envíe un mensaje de texto al 712-250-7201.</w:t>
      </w:r>
    </w:p>
    <w:sectPr>
      <w:pgSz w:w="12240" w:h="15840"/>
      <w:pgMar w:top="1080" w:right="1080" w:bottom="1080" w:left="1080" w:header="720" w:footer="720" w:gutter="0"/>
    </w:sectPr>
  </w:body>
</w:document>
</file>

<file path=word/numbering.xml><?xml version="1.0" encoding="utf-8"?>
<w:numbering xmlns:w="http://schemas.openxmlformats.org/wordprocessingml/2006/main">
  <w:abstractNum w:abstractNumId="0">
    <w:lvl w:ilvl="0">
      <w:start w:val="1"/>
      <w:numFmt w:val="bullet"/>
      <w:lvlText w:val="•"/>
      <w:lvlJc w:val="left"/>
      <w:pPr>
        <w:ind w:left="720" w:hanging="360"/>
      </w:pPr>
    </w:lvl>
  </w:abstractNum>
  <w:abstractNum w:abstractNumId="1">
    <w:lvl w:ilvl="0">
      <w:start w:val="1"/>
      <w:numFmt w:val="decimal"/>
      <w:lvlText w:val="%1."/>
      <w:lvlJc w:val="left"/>
      <w:pPr>
        <w:ind w:left="720" w:hanging="360"/>
      </w:pPr>
    </w:lvl>
  </w:abstractNum>
  <w:num w:numId="1">
    <w:abstractNumId w:val="0"/>
  </w:num>
  <w:num w:numId="2">
    <w:abstractNumId w:val="1"/>
  </w:num>
</w:numbering>
</file>

<file path=word/settings.xml><?xml version="1.0" encoding="utf-8"?>
<w:settings xmlns:w="http://schemas.openxmlformats.org/wordprocessingml/2006/main">
  <w:displayBackgroundShape/>
</w:settings>
</file>

<file path=word/styles.xml><?xml version="1.0" encoding="utf-8"?>
<w:styles xmlns:w="http://schemas.openxmlformats.org/wordprocessingml/2006/main">
  <w:docDefaults>
    <w:rPrDefault>
      <w:rPr>
        <w:rFonts w:ascii="Arial" w:hAnsi="Arial" w:cs="Arial"/>
        <w:sz w:val="48"/>
        <w:szCs w:val="48"/>
        <w:lang w:val="es-US"/>
      </w:rPr>
    </w:rPrDefault>
    <w:pPrDefault>
      <w:pPr>
        <w:spacing w:after="160" w:line="300" w:lineRule="auto"/>
      </w:pPr>
    </w:pPrDefault>
  </w:docDefaults>
  <w:style w:type="paragraph" w:default="1" w:styleId="Normal">
    <w:name w:val="Normal"/>
    <w:qFormat/>
  </w:style>
  <w:style w:type="paragraph" w:styleId="Heading1">
    <w:name w:val="heading 1"/>
    <w:basedOn w:val="Normal"/>
    <w:next w:val="Normal"/>
    <w:uiPriority w:val="9"/>
    <w:qFormat/>
    <w:pPr>
      <w:keepNext/>
      <w:spacing w:before="360" w:after="120"/>
      <w:outlineLvl w:val="0"/>
    </w:pPr>
    <w:rPr>
      <w:b/>
      <w:color w:val="3B2A80"/>
      <w:sz w:val="64"/>
    </w:rPr>
  </w:style>
  <w:style w:type="paragraph" w:styleId="Heading2">
    <w:name w:val="heading 2"/>
    <w:basedOn w:val="Normal"/>
    <w:next w:val="Normal"/>
    <w:uiPriority w:val="9"/>
    <w:qFormat/>
    <w:pPr>
      <w:keepNext/>
      <w:spacing w:before="360" w:after="120"/>
      <w:outlineLvl w:val="1"/>
    </w:pPr>
    <w:rPr>
      <w:b/>
      <w:color w:val="3B2A80"/>
      <w:sz w:val="56"/>
    </w:rPr>
  </w:style>
  <w:style w:type="paragraph" w:styleId="Heading3">
    <w:name w:val="heading 3"/>
    <w:basedOn w:val="Normal"/>
    <w:next w:val="Normal"/>
    <w:uiPriority w:val="9"/>
    <w:qFormat/>
    <w:pPr>
      <w:keepNext/>
      <w:spacing w:before="360" w:after="120"/>
      <w:outlineLvl w:val="2"/>
    </w:pPr>
    <w:rPr>
      <w:b/>
      <w:color w:val="3B2A80"/>
      <w:sz w:val="52"/>
    </w:rPr>
  </w:style>
  <w:style w:type="paragraph" w:styleId="ListParagraph">
    <w:name w:val="List Paragraph"/>
    <w:basedOn w:val="Normal"/>
    <w:pPr>
      <w:ind w:left="720"/>
      <w:spacing w:after="80"/>
    </w:pPr>
  </w:style>
  <w:style w:type="table" w:styleId="TableGrid">
    <w:name w:val="Table Grid"/>
    <w:tblPr>
      <w:tblBorders>
        <w:top w:val="single" w:sz="8" w:color="444444"/>
        <w:left w:val="single" w:sz="8" w:color="444444"/>
        <w:bottom w:val="single" w:sz="8" w:color="444444"/>
        <w:right w:val="single" w:sz="8" w:color="444444"/>
        <w:insideH w:val="single" w:sz="4" w:color="444444"/>
        <w:insideV w:val="single" w:sz="4" w:color="444444"/>
      </w:tblBorders>
      <w:tblCellMar>
        <w:left w:w="108" w:type="dxa"/>
        <w:right w:w="108" w:type="dxa"/>
      </w:tblCellMar>
    </w:tbl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s>
</file>

<file path=docProps/core.xml><?xml version="1.0" encoding="utf-8"?>
<cp:coreProperties xmlns:cp="http://schemas.openxmlformats.org/package/2006/metadata/core-properties" xmlns:dc="http://purl.org/dc/elements/1.1/" xmlns:dcterms="http://purl.org/dc/terms/" xmlns:xsi="http://www.w3.org/2001/XMLSchema-instance">
  <dc:title>NVDA para Windows: atajos de teclado</dc:title>
  <dc:creator>Full Circle AT</dc:creator>
  <dc:language>es-US</dc:language>
  <dcterms:created xsi:type="dcterms:W3CDTF">2026-10-26T01:52:18Z</dcterms:created>
  <dcterms:modified xsi:type="dcterms:W3CDTF">2026-10-26T01:52:18Z</dcterms:modified>
</cp:coreProperties>
</file>